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</w:pPr>
      <w:r>
        <w:rPr>
          <w:rFonts w:ascii="Calibri" w:cs="Calibri" w:eastAsia="Calibri" w:hAnsi="Calibri"/>
          <w:b/>
          <w:bCs/>
          <w:color w:val="028090"/>
          <w:spacing w:val="30"/>
          <w:sz w:val="18"/>
          <w:szCs w:val="18"/>
        </w:rPr>
        <w:t xml:space="preserve">CLAUDE IN EXCEL</w:t>
      </w:r>
    </w:p>
    <w:p>
      <w:pPr>
        <w:spacing w:after="60"/>
      </w:pPr>
      <w:r>
        <w:rPr>
          <w:rFonts w:ascii="Cambria" w:cs="Cambria" w:eastAsia="Cambria" w:hAnsi="Cambria"/>
          <w:b/>
          <w:bCs/>
          <w:color w:val="1B2B34"/>
          <w:sz w:val="32"/>
          <w:szCs w:val="32"/>
        </w:rPr>
        <w:t xml:space="preserve">Quick Reference: Five Stages to Better Reporting</w:t>
      </w:r>
    </w:p>
    <w:p>
      <w:pPr>
        <w:pBdr>
          <w:bottom w:val="single" w:color="02C39A" w:sz="8" w:space="4"/>
        </w:pBdr>
        <w:spacing w:after="160"/>
      </w:pPr>
      <w:r>
        <w:rPr>
          <w:rFonts w:ascii="Calibri" w:cs="Calibri" w:eastAsia="Calibri" w:hAnsi="Calibri"/>
          <w:i/>
          <w:iCs/>
          <w:color w:val="5B6B73"/>
          <w:sz w:val="18"/>
          <w:szCs w:val="18"/>
        </w:rPr>
        <w:t xml:space="preserve">Ask questions, not functions. Use Claude as a second pair of eyes, not just a builder.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DCE6E6" w:sz="4"/>
              <w:left w:val="single" w:color="DCE6E6" w:sz="4"/>
              <w:bottom w:val="single" w:color="DCE6E6" w:sz="4"/>
              <w:right w:val="single" w:color="DCE6E6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"/>
            </w:pPr>
            <w:r>
              <w:rPr>
                <w:rFonts w:ascii="Cambria" w:cs="Cambria" w:eastAsia="Cambria" w:hAnsi="Cambria"/>
                <w:b/>
                <w:bCs/>
                <w:color w:val="028090"/>
                <w:sz w:val="19"/>
                <w:szCs w:val="19"/>
              </w:rPr>
              <w:t xml:space="preserve">1  </w:t>
            </w:r>
            <w:r>
              <w:rPr>
                <w:rFonts w:ascii="Cambria" w:cs="Cambria" w:eastAsia="Cambria" w:hAnsi="Cambria"/>
                <w:b/>
                <w:bCs/>
                <w:color w:val="1B2B34"/>
                <w:sz w:val="19"/>
                <w:szCs w:val="19"/>
              </w:rPr>
              <w:t xml:space="preserve">Ask, Don't Build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Calibri" w:cs="Calibri" w:eastAsia="Calibri" w:hAnsi="Calibri"/>
                <w:color w:val="5B6B73"/>
                <w:sz w:val="16"/>
                <w:szCs w:val="16"/>
              </w:rPr>
              <w:t xml:space="preserve">Open a sheet with 100+ rows of real data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Calibri" w:cs="Calibri" w:eastAsia="Calibri" w:hAnsi="Calibri"/>
                <w:color w:val="5B6B73"/>
                <w:sz w:val="16"/>
                <w:szCs w:val="16"/>
              </w:rPr>
              <w:t xml:space="preserve">Ask Claude to summarize columns, row count, gaps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Calibri" w:cs="Calibri" w:eastAsia="Calibri" w:hAnsi="Calibri"/>
                <w:color w:val="5B6B73"/>
                <w:sz w:val="16"/>
                <w:szCs w:val="16"/>
              </w:rPr>
              <w:t xml:space="preserve">Ask Claude to clean dates, whitespace, text casing</w:t>
            </w:r>
          </w:p>
        </w:tc>
        <w:tc>
          <w:tcPr>
            <w:tcW w:type="dxa" w:w="4680"/>
            <w:tcBorders>
              <w:top w:val="single" w:color="DCE6E6" w:sz="4"/>
              <w:left w:val="single" w:color="DCE6E6" w:sz="4"/>
              <w:bottom w:val="single" w:color="DCE6E6" w:sz="4"/>
              <w:right w:val="single" w:color="DCE6E6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"/>
            </w:pPr>
            <w:r>
              <w:rPr>
                <w:rFonts w:ascii="Cambria" w:cs="Cambria" w:eastAsia="Cambria" w:hAnsi="Cambria"/>
                <w:b/>
                <w:bCs/>
                <w:color w:val="00A896"/>
                <w:sz w:val="19"/>
                <w:szCs w:val="19"/>
              </w:rPr>
              <w:t xml:space="preserve">2  </w:t>
            </w:r>
            <w:r>
              <w:rPr>
                <w:rFonts w:ascii="Cambria" w:cs="Cambria" w:eastAsia="Cambria" w:hAnsi="Cambria"/>
                <w:b/>
                <w:bCs/>
                <w:color w:val="1B2B34"/>
                <w:sz w:val="19"/>
                <w:szCs w:val="19"/>
              </w:rPr>
              <w:t xml:space="preserve">Formulas in Plain English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Calibri" w:cs="Calibri" w:eastAsia="Calibri" w:hAnsi="Calibri"/>
                <w:color w:val="5B6B73"/>
                <w:sz w:val="16"/>
                <w:szCs w:val="16"/>
              </w:rPr>
              <w:t xml:space="preserve">Describe a calculated column — e.g. “profit margin per order”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Calibri" w:cs="Calibri" w:eastAsia="Calibri" w:hAnsi="Calibri"/>
                <w:color w:val="5B6B73"/>
                <w:sz w:val="16"/>
                <w:szCs w:val="16"/>
              </w:rPr>
              <w:t xml:space="preserve">Ask Claude to explain the formula it used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Calibri" w:cs="Calibri" w:eastAsia="Calibri" w:hAnsi="Calibri"/>
                <w:color w:val="5B6B73"/>
                <w:sz w:val="16"/>
                <w:szCs w:val="16"/>
              </w:rPr>
              <w:t xml:space="preserve">Ask for a cross-sheet lookup without naming a function</w:t>
            </w:r>
          </w:p>
        </w:tc>
      </w:tr>
      <w:tr>
        <w:tc>
          <w:tcPr>
            <w:tcW w:type="dxa" w:w="4680"/>
            <w:tcBorders>
              <w:top w:val="single" w:color="DCE6E6" w:sz="4"/>
              <w:left w:val="single" w:color="DCE6E6" w:sz="4"/>
              <w:bottom w:val="single" w:color="DCE6E6" w:sz="4"/>
              <w:right w:val="single" w:color="DCE6E6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"/>
            </w:pPr>
            <w:r>
              <w:rPr>
                <w:rFonts w:ascii="Cambria" w:cs="Cambria" w:eastAsia="Cambria" w:hAnsi="Cambria"/>
                <w:b/>
                <w:bCs/>
                <w:color w:val="02C39A"/>
                <w:sz w:val="19"/>
                <w:szCs w:val="19"/>
              </w:rPr>
              <w:t xml:space="preserve">3  </w:t>
            </w:r>
            <w:r>
              <w:rPr>
                <w:rFonts w:ascii="Cambria" w:cs="Cambria" w:eastAsia="Cambria" w:hAnsi="Cambria"/>
                <w:b/>
                <w:bCs/>
                <w:color w:val="1B2B34"/>
                <w:sz w:val="19"/>
                <w:szCs w:val="19"/>
              </w:rPr>
              <w:t xml:space="preserve">Reporting &amp; Summarizing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Calibri" w:cs="Calibri" w:eastAsia="Calibri" w:hAnsi="Calibri"/>
                <w:color w:val="5B6B73"/>
                <w:sz w:val="16"/>
                <w:szCs w:val="16"/>
              </w:rPr>
              <w:t xml:space="preserve">Build totals by region, month, or category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Calibri" w:cs="Calibri" w:eastAsia="Calibri" w:hAnsi="Calibri"/>
                <w:color w:val="5B6B73"/>
                <w:sz w:val="16"/>
                <w:szCs w:val="16"/>
              </w:rPr>
              <w:t xml:space="preserve">Ask Claude to highlight top 5 / bottom 5 performers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Calibri" w:cs="Calibri" w:eastAsia="Calibri" w:hAnsi="Calibri"/>
                <w:color w:val="5B6B73"/>
                <w:sz w:val="16"/>
                <w:szCs w:val="16"/>
              </w:rPr>
              <w:t xml:space="preserve">Ask for an email-ready executive summary paragraph</w:t>
            </w:r>
          </w:p>
        </w:tc>
        <w:tc>
          <w:tcPr>
            <w:tcW w:type="dxa" w:w="4680"/>
            <w:tcBorders>
              <w:top w:val="single" w:color="DCE6E6" w:sz="4"/>
              <w:left w:val="single" w:color="DCE6E6" w:sz="4"/>
              <w:bottom w:val="single" w:color="DCE6E6" w:sz="4"/>
              <w:right w:val="single" w:color="DCE6E6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"/>
            </w:pPr>
            <w:r>
              <w:rPr>
                <w:rFonts w:ascii="Cambria" w:cs="Cambria" w:eastAsia="Cambria" w:hAnsi="Cambria"/>
                <w:b/>
                <w:bCs/>
                <w:color w:val="028090"/>
                <w:sz w:val="19"/>
                <w:szCs w:val="19"/>
              </w:rPr>
              <w:t xml:space="preserve">4  </w:t>
            </w:r>
            <w:r>
              <w:rPr>
                <w:rFonts w:ascii="Cambria" w:cs="Cambria" w:eastAsia="Cambria" w:hAnsi="Cambria"/>
                <w:b/>
                <w:bCs/>
                <w:color w:val="1B2B34"/>
                <w:sz w:val="19"/>
                <w:szCs w:val="19"/>
              </w:rPr>
              <w:t xml:space="preserve">Analysis &amp; Judgment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Calibri" w:cs="Calibri" w:eastAsia="Calibri" w:hAnsi="Calibri"/>
                <w:color w:val="5B6B73"/>
                <w:sz w:val="16"/>
                <w:szCs w:val="16"/>
              </w:rPr>
              <w:t xml:space="preserve">Ask Claude to flag anomalies and suggest possible reasons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Calibri" w:cs="Calibri" w:eastAsia="Calibri" w:hAnsi="Calibri"/>
                <w:color w:val="5B6B73"/>
                <w:sz w:val="16"/>
                <w:szCs w:val="16"/>
              </w:rPr>
              <w:t xml:space="preserve">Ask for a month-over-month comparison with commentary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Calibri" w:cs="Calibri" w:eastAsia="Calibri" w:hAnsi="Calibri"/>
                <w:color w:val="5B6B73"/>
                <w:sz w:val="16"/>
                <w:szCs w:val="16"/>
              </w:rPr>
              <w:t xml:space="preserve">Ask Claude to recommend and build the best chart</w:t>
            </w:r>
          </w:p>
        </w:tc>
      </w:tr>
    </w:tbl>
    <w:p>
      <w:pPr>
        <w:spacing w:before="1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1B2B34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60"/>
            </w:pPr>
            <w:r>
              <w:rPr>
                <w:rFonts w:ascii="Cambria" w:cs="Cambria" w:eastAsia="Cambria" w:hAnsi="Cambria"/>
                <w:b/>
                <w:bCs/>
                <w:color w:val="02C39A"/>
                <w:sz w:val="19"/>
                <w:szCs w:val="19"/>
              </w:rPr>
              <w:t xml:space="preserve">5  </w:t>
            </w:r>
            <w:r>
              <w:rPr>
                <w:rFonts w:ascii="Cambria" w:cs="Cambria" w:eastAsia="Cambria" w:hAnsi="Cambria"/>
                <w:b/>
                <w:bCs/>
                <w:color w:val="FFFFFF"/>
                <w:sz w:val="19"/>
                <w:szCs w:val="19"/>
              </w:rPr>
              <w:t xml:space="preserve">Make It Repeatable</w:t>
            </w:r>
          </w:p>
          <w:p>
            <w:r>
              <w:rPr>
                <w:rFonts w:ascii="Calibri" w:cs="Calibri" w:eastAsia="Calibri" w:hAnsi="Calibri"/>
                <w:color w:val="DCEDEC"/>
                <w:sz w:val="16"/>
                <w:szCs w:val="16"/>
              </w:rPr>
              <w:t xml:space="preserve">Save winning prompts to a personal prompt library  •  Re-run the same ask on refreshed data to test consistency  •  Pick one recurring report to fully hand off to this workflow</w:t>
            </w:r>
          </w:p>
        </w:tc>
      </w:tr>
    </w:tbl>
    <w:p>
      <w:pPr>
        <w:spacing w:before="1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3F7F7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28090"/>
                <w:spacing w:val="20"/>
                <w:sz w:val="15"/>
                <w:szCs w:val="15"/>
              </w:rPr>
              <w:t xml:space="preserve">THE TWO HABITS TO LEAVE WITH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B2B34"/>
                <w:sz w:val="17"/>
                <w:szCs w:val="17"/>
              </w:rPr>
              <w:t xml:space="preserve">1.  </w:t>
            </w:r>
            <w:r>
              <w:rPr>
                <w:rFonts w:ascii="Calibri" w:cs="Calibri" w:eastAsia="Calibri" w:hAnsi="Calibri"/>
                <w:color w:val="1B2B34"/>
                <w:sz w:val="17"/>
                <w:szCs w:val="17"/>
              </w:rPr>
              <w:t xml:space="preserve">Describe the outcome you want, in plain English — let Claude pick the formula.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B2B34"/>
                <w:sz w:val="17"/>
                <w:szCs w:val="17"/>
              </w:rPr>
              <w:t xml:space="preserve">2.  </w:t>
            </w:r>
            <w:r>
              <w:rPr>
                <w:rFonts w:ascii="Calibri" w:cs="Calibri" w:eastAsia="Calibri" w:hAnsi="Calibri"/>
                <w:color w:val="1B2B34"/>
                <w:sz w:val="17"/>
                <w:szCs w:val="17"/>
              </w:rPr>
              <w:t xml:space="preserve">After the report is built, ask Claude to check it, find anomalies, and explain the “why.”</w:t>
            </w:r>
          </w:p>
        </w:tc>
      </w:tr>
    </w:tbl>
    <w:p>
      <w:pPr>
        <w:spacing w:before="18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5B6B73"/>
          <w:spacing w:val="20"/>
          <w:sz w:val="15"/>
          <w:szCs w:val="15"/>
        </w:rPr>
        <w:t xml:space="preserve">BEFORE YOU LEAVE TODAY, WRITE DOWN: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Calibri" w:cs="Calibri" w:eastAsia="Calibri" w:hAnsi="Calibri"/>
          <w:color w:val="1B2B34"/>
          <w:sz w:val="18"/>
          <w:szCs w:val="18"/>
        </w:rPr>
        <w:t xml:space="preserve">The ONE report you will hand off to this workflow this week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Calibri" w:cs="Calibri" w:eastAsia="Calibri" w:hAnsi="Calibri"/>
          <w:color w:val="1B2B34"/>
          <w:sz w:val="18"/>
          <w:szCs w:val="18"/>
        </w:rPr>
        <w:t xml:space="preserve">Two or three prompts from today worth saving to your prompt library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Calibri" w:cs="Calibri" w:eastAsia="Calibri" w:hAnsi="Calibri"/>
          <w:color w:val="1B2B34"/>
          <w:sz w:val="18"/>
          <w:szCs w:val="18"/>
        </w:rPr>
        <w:t xml:space="preserve">One open question to ask now or bring to the next session</w:t>
      </w:r>
    </w:p>
    <w:sectPr>
      <w:headerReference w:type="default" r:id="rId7"/>
      <w:footerReference w:type="default" r:id="rId8"/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CE6E6" w:sz="4" w:space="4"/>
      </w:pBdr>
      <w:spacing w:before="60"/>
      <w:jc w:val="center"/>
    </w:pPr>
    <w:r>
      <w:rPr>
        <w:rFonts w:ascii="Calibri" w:cs="Calibri" w:eastAsia="Calibri" w:hAnsi="Calibri"/>
        <w:i/>
        <w:iCs/>
        <w:color w:val="5B6B73"/>
        <w:sz w:val="14"/>
        <w:szCs w:val="14"/>
      </w:rPr>
      <w:t xml:space="preserve">Claude in Excel  —  Training Quick Reference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200"/>
      </w:pPr>
      <w:rPr>
        <w:b/>
        <w:bCs/>
        <w:color w:val="02809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B2B3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2026-06-24T15:09:21.192Z</dcterms:created>
  <dcterms:modified xsi:type="dcterms:W3CDTF">2026-06-24T15:09:21.193Z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